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BA72FF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BA72FF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61F7EB82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20 </w:t>
      </w:r>
      <w:r w:rsidR="00470344">
        <w:rPr>
          <w:rFonts w:cs="B Nazanin" w:hint="cs"/>
          <w:color w:val="auto"/>
          <w:sz w:val="28"/>
          <w:szCs w:val="26"/>
          <w:rtl/>
        </w:rPr>
        <w:t>فروردین 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70344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698B5E46" w14:textId="77777777" w:rsidR="0070283A" w:rsidRPr="0070283A" w:rsidRDefault="00EB15F5" w:rsidP="0070283A">
      <w:pPr>
        <w:pStyle w:val="ListParagraph"/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  <w:rtl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70283A" w:rsidRPr="0070283A">
        <w:rPr>
          <w:rFonts w:cs="B Nazanin"/>
          <w:color w:val="auto"/>
          <w:sz w:val="28"/>
          <w:szCs w:val="26"/>
          <w:rtl/>
        </w:rPr>
        <w:t>66539734</w:t>
      </w:r>
    </w:p>
    <w:p w14:paraId="7C7CF39B" w14:textId="22AC9759" w:rsidR="00202159" w:rsidRPr="000F62B8" w:rsidRDefault="0070283A" w:rsidP="0070283A">
      <w:pPr>
        <w:pStyle w:val="ListParagraph"/>
        <w:ind w:left="720" w:right="562"/>
        <w:rPr>
          <w:sz w:val="30"/>
          <w:szCs w:val="28"/>
        </w:rPr>
      </w:pPr>
      <w:r w:rsidRPr="0070283A">
        <w:rPr>
          <w:rFonts w:cs="B Nazanin"/>
          <w:color w:val="auto"/>
          <w:sz w:val="28"/>
          <w:szCs w:val="26"/>
          <w:rtl/>
        </w:rPr>
        <w:t>66533864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</w:t>
      </w:r>
      <w:r w:rsidR="00EB15F5"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470344" w:rsidRPr="003F13CA" w14:paraId="63CEAF76" w14:textId="77777777" w:rsidTr="00F50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665CDA32" w:rsidR="00470344" w:rsidRPr="003F13CA" w:rsidRDefault="003C4DFF" w:rsidP="0047034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0E3424C6" w:rsidR="00470344" w:rsidRDefault="00470344" w:rsidP="00470344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</w:rPr>
              <w:t xml:space="preserve">امکان 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دستیابی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فرمولاس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یون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چرم گ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یاهی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اختلاط </w:t>
            </w:r>
            <w:r w:rsidRPr="00470344">
              <w:rPr>
                <w:rFonts w:ascii="Calibri" w:eastAsia="Calibri" w:hAnsi="Calibri" w:cs="B Nazanin"/>
                <w:bCs/>
                <w:color w:val="000000"/>
                <w:sz w:val="20"/>
                <w:rtl/>
                <w:lang w:bidi="fa-IR"/>
              </w:rPr>
              <w:t>مواد پا</w:t>
            </w:r>
            <w:r w:rsidRPr="00470344">
              <w:rPr>
                <w:rFonts w:ascii="Calibri" w:eastAsia="Calibri" w:hAnsi="Calibri" w:cs="B Nazanin" w:hint="cs"/>
                <w:bCs/>
                <w:color w:val="000000"/>
                <w:sz w:val="20"/>
                <w:rtl/>
                <w:lang w:bidi="fa-IR"/>
              </w:rPr>
              <w:t>یه</w:t>
            </w:r>
            <w:r w:rsidRPr="00470344">
              <w:rPr>
                <w:rFonts w:ascii="Calibri" w:eastAsia="Calibri" w:hAnsi="Calibri" w:cs="B Nazanin"/>
                <w:bCs/>
                <w:color w:val="000000"/>
                <w:sz w:val="20"/>
                <w:rtl/>
                <w:lang w:bidi="fa-IR"/>
              </w:rPr>
              <w:t xml:space="preserve"> قارچ</w:t>
            </w:r>
            <w:r w:rsidRPr="00470344">
              <w:rPr>
                <w:rFonts w:ascii="Calibri" w:eastAsia="Calibri" w:hAnsi="Calibri" w:cs="B Nazanin" w:hint="cs"/>
                <w:bCs/>
                <w:color w:val="000000"/>
                <w:sz w:val="20"/>
                <w:rtl/>
                <w:lang w:bidi="fa-IR"/>
              </w:rPr>
              <w:t>ی</w:t>
            </w:r>
            <w:r w:rsidRPr="00470344">
              <w:rPr>
                <w:rFonts w:ascii="Calibri" w:eastAsia="Calibri" w:hAnsi="Calibri" w:cs="B Nazanin"/>
                <w:bCs/>
                <w:color w:val="000000"/>
                <w:sz w:val="20"/>
                <w:rtl/>
                <w:lang w:bidi="fa-IR"/>
              </w:rPr>
              <w:t xml:space="preserve"> و مواد سلولز دار طب</w:t>
            </w:r>
            <w:r w:rsidRPr="00470344">
              <w:rPr>
                <w:rFonts w:ascii="Calibri" w:eastAsia="Calibri" w:hAnsi="Calibri" w:cs="B Nazanin" w:hint="cs"/>
                <w:bCs/>
                <w:color w:val="000000"/>
                <w:sz w:val="20"/>
                <w:rtl/>
                <w:lang w:bidi="fa-IR"/>
              </w:rPr>
              <w:t>یعی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مثل کاه گندم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70344" w:rsidRPr="003F13CA" w14:paraId="168A3ED1" w14:textId="77777777" w:rsidTr="00F50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5F215" w14:textId="132BAECC" w:rsidR="00470344" w:rsidRPr="003F13CA" w:rsidRDefault="003C4DFF" w:rsidP="0047034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51C4F0CF" w14:textId="1A03ABC2" w:rsidR="00470344" w:rsidRPr="00470344" w:rsidRDefault="00470344" w:rsidP="00470344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تول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د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چرم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گ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اه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به‌صورت 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ف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70344">
              <w:rPr>
                <w:rFonts w:ascii="Calibri" w:eastAsia="Calibri" w:hAnsi="Calibri" w:cs="B Nazanin" w:hint="eastAsia"/>
                <w:b w:val="0"/>
                <w:color w:val="000000"/>
                <w:sz w:val="20"/>
                <w:rtl/>
                <w:lang w:bidi="fa-IR"/>
              </w:rPr>
              <w:t>لم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8768934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B572598" w14:textId="18848989" w:rsidR="00470344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10321675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949FD61" w14:textId="2F9CFB14" w:rsidR="00470344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70344" w:rsidRPr="003F13CA" w14:paraId="763C44B3" w14:textId="77777777" w:rsidTr="00F50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9931D2" w14:textId="5808892D" w:rsidR="00470344" w:rsidRPr="003F13CA" w:rsidRDefault="003C4DFF" w:rsidP="0047034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12194498" w14:textId="524EB6E2" w:rsidR="00470344" w:rsidRDefault="00470344" w:rsidP="00470344">
            <w:pPr>
              <w:spacing w:after="160" w:line="276" w:lineRule="auto"/>
              <w:ind w:left="0"/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امکان 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 xml:space="preserve">دستیابی به شبکه میسیلیومی </w:t>
            </w:r>
            <w:r w:rsidRPr="00875D9B">
              <w:rPr>
                <w:rFonts w:cs="B Nazanin"/>
                <w:sz w:val="26"/>
                <w:szCs w:val="26"/>
                <w:rtl/>
              </w:rPr>
              <w:t>باقابل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875D9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 xml:space="preserve"> تحمل دمای 250 درجه </w:t>
            </w:r>
            <w:r w:rsidRPr="00875D9B">
              <w:rPr>
                <w:rFonts w:cs="B Nazanin"/>
                <w:sz w:val="26"/>
                <w:szCs w:val="26"/>
                <w:rtl/>
              </w:rPr>
              <w:t>سانت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>ی‌</w:t>
            </w:r>
            <w:r w:rsidRPr="00875D9B">
              <w:rPr>
                <w:rFonts w:cs="B Nazanin" w:hint="eastAsia"/>
                <w:sz w:val="26"/>
                <w:szCs w:val="26"/>
                <w:rtl/>
              </w:rPr>
              <w:t>گراد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 xml:space="preserve"> و مدول الاستیک </w:t>
            </w:r>
            <w:r w:rsidRPr="00875D9B">
              <w:rPr>
                <w:rFonts w:cs="B Nazanin"/>
                <w:sz w:val="26"/>
                <w:szCs w:val="26"/>
              </w:rPr>
              <w:t xml:space="preserve"> </w:t>
            </w:r>
            <w:r w:rsidRPr="003C4DFF">
              <w:rPr>
                <w:rFonts w:asciiTheme="majorBidi" w:eastAsia="Times New Roman" w:hAnsiTheme="majorBidi" w:cstheme="majorBidi"/>
                <w:b w:val="0"/>
                <w:bCs/>
                <w:sz w:val="22"/>
                <w:szCs w:val="22"/>
              </w:rPr>
              <w:t>MPa</w:t>
            </w:r>
            <w:r w:rsidRPr="003C4DF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75D9B">
              <w:rPr>
                <w:rFonts w:hint="cs"/>
                <w:sz w:val="26"/>
                <w:szCs w:val="26"/>
                <w:rtl/>
              </w:rPr>
              <w:t>1.2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372124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E6945FF" w14:textId="64256AC8" w:rsidR="00470344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5208405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7AF2C1D" w14:textId="6C208DE2" w:rsidR="00470344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70344" w:rsidRPr="003F13CA" w14:paraId="44E70244" w14:textId="77777777" w:rsidTr="00F50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5A8372B1" w:rsidR="00470344" w:rsidRPr="003F13CA" w:rsidRDefault="003C4DFF" w:rsidP="0047034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0528A691" w14:textId="2B7B5F0F" w:rsidR="00470344" w:rsidRPr="007E54E0" w:rsidRDefault="00470344" w:rsidP="00470344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امکان 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 xml:space="preserve">دستیابی به قابلیت کشسانی بین 70 تا 80 درصد </w:t>
            </w:r>
            <w:r w:rsidRPr="003C4DFF"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  <w:t>(</w:t>
            </w:r>
            <w:r w:rsidRPr="003C4DFF">
              <w:rPr>
                <w:rFonts w:asciiTheme="majorBidi" w:eastAsia="Times New Roman" w:hAnsiTheme="majorBidi" w:cstheme="majorBidi"/>
                <w:b w:val="0"/>
                <w:bCs/>
                <w:sz w:val="22"/>
                <w:szCs w:val="22"/>
              </w:rPr>
              <w:t>Large recoveries in scratch-deformation</w:t>
            </w:r>
            <w:r w:rsidRPr="003C4DFF"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70344" w:rsidRPr="003F13CA" w14:paraId="3081D54B" w14:textId="77777777" w:rsidTr="00F50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FD3C6FD" w:rsidR="00470344" w:rsidRPr="003F13CA" w:rsidRDefault="003C4DFF" w:rsidP="0047034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0318CBB0" w14:textId="3F833FFB" w:rsidR="00470344" w:rsidRPr="007E54E0" w:rsidRDefault="00470344" w:rsidP="00470344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امکان 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 xml:space="preserve">دستیابی به محصولی مقاوم در برابر </w:t>
            </w:r>
            <w:r w:rsidRPr="003C4DF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pH</w:t>
            </w:r>
            <w:r w:rsidRPr="003C4DF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>اسیدی و بازی (</w:t>
            </w:r>
            <w:r>
              <w:rPr>
                <w:rFonts w:cs="B Nazanin" w:hint="cs"/>
                <w:sz w:val="26"/>
                <w:szCs w:val="26"/>
                <w:rtl/>
              </w:rPr>
              <w:t>8</w:t>
            </w:r>
            <w:r w:rsidRPr="00875D9B">
              <w:rPr>
                <w:rFonts w:cs="B Nazanin"/>
                <w:sz w:val="26"/>
                <w:szCs w:val="26"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>5</w:t>
            </w:r>
            <w:r w:rsidRPr="003C4DF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pH</w:t>
            </w:r>
            <w:r w:rsidRPr="00875D9B">
              <w:rPr>
                <w:rFonts w:cs="B Nazanin"/>
                <w:sz w:val="26"/>
                <w:szCs w:val="26"/>
              </w:rPr>
              <w:t>=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70344" w:rsidRPr="003F13CA" w14:paraId="14F7B3B3" w14:textId="77777777" w:rsidTr="00F509C3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A85DE2E" w:rsidR="00470344" w:rsidRPr="003F13CA" w:rsidRDefault="003C4DFF" w:rsidP="0047034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5D32E64A" w14:textId="5C17B612" w:rsidR="00470344" w:rsidRPr="007F120E" w:rsidRDefault="00470344" w:rsidP="00470344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امکان </w:t>
            </w:r>
            <w:r w:rsidRPr="00875D9B">
              <w:rPr>
                <w:rFonts w:cs="B Nazanin" w:hint="cs"/>
                <w:sz w:val="26"/>
                <w:szCs w:val="26"/>
                <w:rtl/>
              </w:rPr>
              <w:t xml:space="preserve">دستیابی به ساختاری ضد باکتریایی و ضدقارچی مناسب با مصرف نهایی این نوع چرم 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470344" w:rsidRPr="003F13CA" w:rsidRDefault="00470344" w:rsidP="0047034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CA977BA" w:rsidR="00105A62" w:rsidRPr="003F13CA" w:rsidRDefault="003C4DFF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lastRenderedPageBreak/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AD7975F" w14:textId="05AD6EE3" w:rsidR="00105A62" w:rsidRDefault="00470344" w:rsidP="0006572A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دستبابی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محصول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خصوص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یات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یزیکی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و مکان</w:t>
            </w:r>
            <w:r w:rsidRPr="00470344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یکی</w:t>
            </w:r>
            <w:r w:rsidRPr="00470344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طبقه جدول </w:t>
            </w:r>
            <w:r w:rsidR="0006572A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زیر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26"/>
              <w:gridCol w:w="1626"/>
              <w:gridCol w:w="1626"/>
              <w:gridCol w:w="1627"/>
              <w:gridCol w:w="1627"/>
            </w:tblGrid>
            <w:tr w:rsidR="0006572A" w14:paraId="1FE49FAA" w14:textId="77777777" w:rsidTr="0006572A">
              <w:tc>
                <w:tcPr>
                  <w:tcW w:w="1626" w:type="dxa"/>
                </w:tcPr>
                <w:p w14:paraId="0E55BBAE" w14:textId="72D4E0D5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 w:val="0"/>
                      <w:color w:val="000000"/>
                      <w:sz w:val="20"/>
                      <w:rtl/>
                      <w:lang w:bidi="fa-IR"/>
                    </w:rPr>
                    <w:t>ضخامت (نانومتر)</w:t>
                  </w:r>
                </w:p>
              </w:tc>
              <w:tc>
                <w:tcPr>
                  <w:tcW w:w="1626" w:type="dxa"/>
                </w:tcPr>
                <w:p w14:paraId="0A0DAAC0" w14:textId="6F607B8A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 w:val="0"/>
                      <w:color w:val="000000"/>
                      <w:sz w:val="20"/>
                      <w:rtl/>
                      <w:lang w:bidi="fa-IR"/>
                    </w:rPr>
                    <w:t>مقاومت کششی (مگاپاسکال)</w:t>
                  </w:r>
                </w:p>
              </w:tc>
              <w:tc>
                <w:tcPr>
                  <w:tcW w:w="1626" w:type="dxa"/>
                </w:tcPr>
                <w:p w14:paraId="495C457E" w14:textId="5669FC82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 w:val="0"/>
                      <w:color w:val="000000"/>
                      <w:sz w:val="20"/>
                      <w:rtl/>
                      <w:lang w:bidi="fa-IR"/>
                    </w:rPr>
                    <w:t>مدول کشسانی (گیگاپاسکال)</w:t>
                  </w:r>
                </w:p>
              </w:tc>
              <w:tc>
                <w:tcPr>
                  <w:tcW w:w="1627" w:type="dxa"/>
                </w:tcPr>
                <w:p w14:paraId="73E2C006" w14:textId="310B5576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 w:rsidRPr="0006572A"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  <w:t>ازدياد طول تا پارگي (%)</w:t>
                  </w:r>
                </w:p>
              </w:tc>
              <w:tc>
                <w:tcPr>
                  <w:tcW w:w="1627" w:type="dxa"/>
                </w:tcPr>
                <w:p w14:paraId="5CED8A6F" w14:textId="65A689E0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b w:val="0"/>
                      <w:color w:val="000000"/>
                      <w:sz w:val="20"/>
                      <w:rtl/>
                      <w:lang w:bidi="fa-IR"/>
                    </w:rPr>
                    <w:t>چگالی (کیلوگرم بر مترم مکعب)</w:t>
                  </w:r>
                </w:p>
              </w:tc>
            </w:tr>
            <w:tr w:rsidR="0006572A" w14:paraId="4B199D96" w14:textId="77777777" w:rsidTr="003B6913">
              <w:tc>
                <w:tcPr>
                  <w:tcW w:w="1626" w:type="dxa"/>
                  <w:vAlign w:val="center"/>
                </w:tcPr>
                <w:p w14:paraId="20CE0058" w14:textId="7FD266A4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 w:rsidRPr="0006572A">
                    <w:rPr>
                      <w:rFonts w:cs="B Nazanin" w:hint="cs"/>
                      <w:sz w:val="20"/>
                      <w:szCs w:val="20"/>
                      <w:rtl/>
                    </w:rPr>
                    <w:t>3- 5/0</w:t>
                  </w:r>
                </w:p>
              </w:tc>
              <w:tc>
                <w:tcPr>
                  <w:tcW w:w="1626" w:type="dxa"/>
                  <w:vAlign w:val="center"/>
                </w:tcPr>
                <w:p w14:paraId="19F003AB" w14:textId="45B8A168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 w:rsidRPr="0006572A">
                    <w:rPr>
                      <w:rFonts w:cs="B Nazanin" w:hint="cs"/>
                      <w:sz w:val="20"/>
                      <w:szCs w:val="20"/>
                      <w:rtl/>
                    </w:rPr>
                    <w:t>50/22-9</w:t>
                  </w:r>
                </w:p>
              </w:tc>
              <w:tc>
                <w:tcPr>
                  <w:tcW w:w="1626" w:type="dxa"/>
                  <w:vAlign w:val="center"/>
                </w:tcPr>
                <w:p w14:paraId="27C9667A" w14:textId="5714E820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 w:rsidRPr="0006572A">
                    <w:rPr>
                      <w:rFonts w:cs="B Nazanin" w:hint="cs"/>
                      <w:sz w:val="20"/>
                      <w:szCs w:val="20"/>
                      <w:rtl/>
                    </w:rPr>
                    <w:t>50/2- 8/0</w:t>
                  </w:r>
                </w:p>
              </w:tc>
              <w:tc>
                <w:tcPr>
                  <w:tcW w:w="1627" w:type="dxa"/>
                  <w:vAlign w:val="center"/>
                </w:tcPr>
                <w:p w14:paraId="746D285D" w14:textId="5819E931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 w:rsidRPr="0006572A">
                    <w:rPr>
                      <w:rFonts w:cs="B Nazanin" w:hint="cs"/>
                      <w:sz w:val="20"/>
                      <w:szCs w:val="20"/>
                      <w:rtl/>
                    </w:rPr>
                    <w:t>50/3-2</w:t>
                  </w:r>
                </w:p>
              </w:tc>
              <w:tc>
                <w:tcPr>
                  <w:tcW w:w="1627" w:type="dxa"/>
                  <w:vAlign w:val="center"/>
                </w:tcPr>
                <w:p w14:paraId="1AB27405" w14:textId="7513E745" w:rsidR="0006572A" w:rsidRDefault="0006572A" w:rsidP="0006572A">
                  <w:pPr>
                    <w:spacing w:after="160" w:line="276" w:lineRule="auto"/>
                    <w:ind w:left="0"/>
                    <w:contextualSpacing/>
                    <w:jc w:val="center"/>
                    <w:rPr>
                      <w:rFonts w:ascii="Calibri" w:eastAsia="Calibri" w:hAnsi="Calibri" w:cs="B Nazanin"/>
                      <w:b w:val="0"/>
                      <w:color w:val="000000"/>
                      <w:sz w:val="20"/>
                      <w:rtl/>
                      <w:lang w:bidi="fa-IR"/>
                    </w:rPr>
                  </w:pPr>
                  <w:r w:rsidRPr="0006572A">
                    <w:rPr>
                      <w:rFonts w:cs="B Nazanin" w:hint="cs"/>
                      <w:sz w:val="20"/>
                      <w:szCs w:val="20"/>
                      <w:rtl/>
                    </w:rPr>
                    <w:t>925-650</w:t>
                  </w:r>
                </w:p>
              </w:tc>
            </w:tr>
          </w:tbl>
          <w:p w14:paraId="3C86170F" w14:textId="44E68D42" w:rsidR="0006572A" w:rsidRPr="00470344" w:rsidRDefault="0006572A" w:rsidP="0006572A">
            <w:pPr>
              <w:spacing w:after="160" w:line="276" w:lineRule="auto"/>
              <w:ind w:left="0"/>
              <w:contextualSpacing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532D44D4" w14:textId="77777777" w:rsidR="0006572A" w:rsidRDefault="0006572A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23B88E27" w14:textId="77777777" w:rsidR="0006572A" w:rsidRDefault="0006572A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  <w:lang w:bidi="fa-IR"/>
        </w:rPr>
      </w:pPr>
      <w:r>
        <w:rPr>
          <w:rtl/>
          <w:lang w:bidi="fa-IR"/>
        </w:rPr>
        <w:br w:type="page"/>
      </w:r>
    </w:p>
    <w:p w14:paraId="795200C6" w14:textId="4F950A4A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lastRenderedPageBreak/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AB67" w14:textId="77777777" w:rsidR="00BA72FF" w:rsidRDefault="00BA72FF">
      <w:r>
        <w:separator/>
      </w:r>
    </w:p>
    <w:p w14:paraId="24B69BCF" w14:textId="77777777" w:rsidR="00BA72FF" w:rsidRDefault="00BA72FF"/>
  </w:endnote>
  <w:endnote w:type="continuationSeparator" w:id="0">
    <w:p w14:paraId="44829757" w14:textId="77777777" w:rsidR="00BA72FF" w:rsidRDefault="00BA72FF">
      <w:r>
        <w:continuationSeparator/>
      </w:r>
    </w:p>
    <w:p w14:paraId="60F4CA48" w14:textId="77777777" w:rsidR="00BA72FF" w:rsidRDefault="00BA7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016CEC26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2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10C9" w14:textId="77777777" w:rsidR="00BA72FF" w:rsidRDefault="00BA72FF">
      <w:r>
        <w:separator/>
      </w:r>
    </w:p>
    <w:p w14:paraId="79ABD658" w14:textId="77777777" w:rsidR="00BA72FF" w:rsidRDefault="00BA72FF"/>
  </w:footnote>
  <w:footnote w:type="continuationSeparator" w:id="0">
    <w:p w14:paraId="62A901DF" w14:textId="77777777" w:rsidR="00BA72FF" w:rsidRDefault="00BA72FF">
      <w:r>
        <w:continuationSeparator/>
      </w:r>
    </w:p>
    <w:p w14:paraId="08B9B629" w14:textId="77777777" w:rsidR="00BA72FF" w:rsidRDefault="00BA7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572A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4DFF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70344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0283A"/>
    <w:rsid w:val="007271CB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36B00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A72FF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31581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546E1"/>
    <w:rsid w:val="00093B97"/>
    <w:rsid w:val="000B6816"/>
    <w:rsid w:val="00190196"/>
    <w:rsid w:val="001904D8"/>
    <w:rsid w:val="001B48CC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751AD0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482E-DBE1-4B4A-800B-AD04D863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0</TotalTime>
  <Pages>11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Z.Zolfeli</cp:lastModifiedBy>
  <cp:revision>2</cp:revision>
  <cp:lastPrinted>2020-06-02T04:49:00Z</cp:lastPrinted>
  <dcterms:created xsi:type="dcterms:W3CDTF">2022-03-02T05:52:00Z</dcterms:created>
  <dcterms:modified xsi:type="dcterms:W3CDTF">2022-03-02T05:52:00Z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