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BB0D67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BB0D67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783F2C1F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924BBF">
        <w:rPr>
          <w:rFonts w:cs="B Nazanin" w:hint="cs"/>
          <w:color w:val="auto"/>
          <w:sz w:val="28"/>
          <w:szCs w:val="26"/>
          <w:rtl/>
        </w:rPr>
        <w:t>20</w:t>
      </w:r>
      <w:r w:rsidR="00851A80">
        <w:rPr>
          <w:rFonts w:cs="B Nazanin" w:hint="cs"/>
          <w:color w:val="auto"/>
          <w:sz w:val="28"/>
          <w:szCs w:val="26"/>
          <w:rtl/>
        </w:rPr>
        <w:t xml:space="preserve"> آذر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1400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42D1F9D" w14:textId="75BF847B" w:rsidR="00851A80" w:rsidRPr="00851A80" w:rsidRDefault="00851A80" w:rsidP="00851A80">
            <w:pPr>
              <w:spacing w:after="160" w:line="360" w:lineRule="auto"/>
              <w:ind w:left="60"/>
              <w:contextualSpacing/>
              <w:jc w:val="center"/>
              <w:rPr>
                <w:rFonts w:ascii="Calibri Light" w:eastAsia="Calibri" w:hAnsi="Calibri Light" w:cs="B Nazanin"/>
                <w:b w:val="0"/>
                <w:lang w:bidi="fa-IR"/>
              </w:rPr>
            </w:pPr>
            <w:r>
              <w:rPr>
                <w:rFonts w:ascii="Calibri Light" w:eastAsia="Calibri" w:hAnsi="Calibri Light" w:cs="B Nazanin" w:hint="cs"/>
                <w:rtl/>
                <w:lang w:bidi="fa-IR"/>
              </w:rPr>
              <w:t xml:space="preserve">امکان </w:t>
            </w:r>
            <w:r w:rsidRPr="00851A80">
              <w:rPr>
                <w:rFonts w:ascii="Calibri Light" w:eastAsia="Calibri" w:hAnsi="Calibri Light" w:cs="B Nazanin" w:hint="cs"/>
                <w:rtl/>
                <w:lang w:bidi="fa-IR"/>
              </w:rPr>
              <w:t>توسعه ماده شیمیایی برای محیط با شرایط زیر؛</w:t>
            </w:r>
          </w:p>
          <w:p w14:paraId="1222B449" w14:textId="77777777" w:rsidR="00851A80" w:rsidRPr="00851A80" w:rsidRDefault="00851A80" w:rsidP="00851A80">
            <w:pPr>
              <w:numPr>
                <w:ilvl w:val="2"/>
                <w:numId w:val="39"/>
              </w:numPr>
              <w:spacing w:after="160" w:line="360" w:lineRule="auto"/>
              <w:ind w:left="510"/>
              <w:contextualSpacing/>
              <w:rPr>
                <w:rFonts w:ascii="Calibri Light" w:eastAsia="Calibri" w:hAnsi="Calibri Light" w:cs="B Nazanin"/>
                <w:b w:val="0"/>
                <w:sz w:val="22"/>
                <w:szCs w:val="22"/>
                <w:lang w:bidi="fa-IR"/>
              </w:rPr>
            </w:pP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شور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>ی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 xml:space="preserve">در بازه 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100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هزار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 xml:space="preserve">تا 200 هزار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بخش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در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م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>ی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ل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>ی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ون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(100,000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 xml:space="preserve"> تا 200.000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</w:t>
            </w:r>
            <w:r w:rsidRPr="00851A80">
              <w:rPr>
                <w:rFonts w:ascii="Calibri Light" w:eastAsia="Calibri" w:hAnsi="Calibri Light" w:cs="B Nazanin"/>
                <w:sz w:val="18"/>
                <w:szCs w:val="18"/>
                <w:lang w:bidi="fa-IR"/>
              </w:rPr>
              <w:t>ppm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>)</w:t>
            </w:r>
          </w:p>
          <w:p w14:paraId="586B1DB9" w14:textId="77777777" w:rsidR="00851A80" w:rsidRPr="00851A80" w:rsidRDefault="00851A80" w:rsidP="00851A80">
            <w:pPr>
              <w:numPr>
                <w:ilvl w:val="2"/>
                <w:numId w:val="39"/>
              </w:numPr>
              <w:spacing w:after="160" w:line="360" w:lineRule="auto"/>
              <w:ind w:left="510"/>
              <w:contextualSpacing/>
              <w:rPr>
                <w:rFonts w:ascii="Calibri Light" w:eastAsia="Calibri" w:hAnsi="Calibri Light" w:cs="B Nazanin"/>
                <w:b w:val="0"/>
                <w:sz w:val="22"/>
                <w:szCs w:val="22"/>
                <w:lang w:bidi="fa-IR"/>
              </w:rPr>
            </w:pP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دما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 xml:space="preserve"> در بازه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80 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 xml:space="preserve">تا 150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درجه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سانت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>ی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گراد</w:t>
            </w:r>
          </w:p>
          <w:p w14:paraId="20602DCE" w14:textId="77777777" w:rsidR="00851A80" w:rsidRPr="00851A80" w:rsidRDefault="00851A80" w:rsidP="00851A80">
            <w:pPr>
              <w:numPr>
                <w:ilvl w:val="2"/>
                <w:numId w:val="39"/>
              </w:numPr>
              <w:spacing w:after="160" w:line="360" w:lineRule="auto"/>
              <w:ind w:left="510"/>
              <w:contextualSpacing/>
              <w:rPr>
                <w:rFonts w:ascii="Calibri Light" w:eastAsia="Calibri" w:hAnsi="Calibri Light" w:cs="B Nazanin"/>
                <w:b w:val="0"/>
                <w:sz w:val="22"/>
                <w:szCs w:val="22"/>
                <w:lang w:bidi="fa-IR"/>
              </w:rPr>
            </w:pP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فشار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>در بازه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2500 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 xml:space="preserve">تا 7500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پام</w:t>
            </w:r>
          </w:p>
          <w:p w14:paraId="5EC40E4F" w14:textId="721F75DA" w:rsidR="00105A62" w:rsidRPr="00851A80" w:rsidRDefault="00851A80" w:rsidP="00851A80">
            <w:pPr>
              <w:numPr>
                <w:ilvl w:val="2"/>
                <w:numId w:val="39"/>
              </w:numPr>
              <w:spacing w:after="160" w:line="360" w:lineRule="auto"/>
              <w:ind w:left="510"/>
              <w:contextualSpacing/>
              <w:rPr>
                <w:rFonts w:ascii="Calibri Light" w:eastAsia="Calibri" w:hAnsi="Calibri Light" w:cs="B Nazanin"/>
                <w:b w:val="0"/>
                <w:lang w:bidi="fa-IR"/>
              </w:rPr>
            </w:pP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م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>ی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نرالوژ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>ی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: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بافت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غالب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کلس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>ی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ت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(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کربنات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شامل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کلس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>ی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ت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و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 xml:space="preserve"> 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دولوم</w:t>
            </w:r>
            <w:r w:rsidRPr="00851A80">
              <w:rPr>
                <w:rFonts w:ascii="Calibri Light" w:eastAsia="Calibri" w:hAnsi="Calibri Light" w:cs="B Nazanin" w:hint="cs"/>
                <w:sz w:val="22"/>
                <w:szCs w:val="22"/>
                <w:rtl/>
                <w:lang w:bidi="fa-IR"/>
              </w:rPr>
              <w:t>ی</w:t>
            </w:r>
            <w:r w:rsidRPr="00851A80">
              <w:rPr>
                <w:rFonts w:ascii="Calibri Light" w:eastAsia="Calibri" w:hAnsi="Calibri Light" w:cs="B Nazanin" w:hint="eastAsia"/>
                <w:sz w:val="22"/>
                <w:szCs w:val="22"/>
                <w:rtl/>
                <w:lang w:bidi="fa-IR"/>
              </w:rPr>
              <w:t>ت</w:t>
            </w:r>
            <w:r w:rsidRPr="00851A80">
              <w:rPr>
                <w:rFonts w:ascii="Calibri Light" w:eastAsia="Calibri" w:hAnsi="Calibri Light" w:cs="B Nazanin"/>
                <w:sz w:val="22"/>
                <w:szCs w:val="22"/>
                <w:rtl/>
                <w:lang w:bidi="fa-IR"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64E64EB8" w:rsidR="00105A62" w:rsidRPr="00851A80" w:rsidRDefault="00851A80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 xml:space="preserve">امکان 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توسعه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 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ماده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 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مطابق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 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با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 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دستورالعمل‌های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 استاندارد 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sz w:val="20"/>
                <w:szCs w:val="20"/>
                <w:lang w:bidi="fa-IR"/>
              </w:rPr>
              <w:t>API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، 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sz w:val="20"/>
                <w:szCs w:val="20"/>
                <w:lang w:bidi="fa-IR"/>
              </w:rPr>
              <w:t>ASTM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>و کتاب آنال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یز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 مغزه 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sz w:val="20"/>
                <w:szCs w:val="20"/>
                <w:lang w:bidi="fa-IR"/>
              </w:rPr>
              <w:t>Macphee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7C006E15" w:rsidR="00105A62" w:rsidRPr="00851A80" w:rsidRDefault="00851A80" w:rsidP="00851A80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 xml:space="preserve">امکان 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توسعه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 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ماده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 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شیمیایی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 (کمتر از 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یک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 ک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یلوگرم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>) با تاک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ید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 بر ژل پل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یمر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 با حداکثر 500 م</w:t>
            </w:r>
            <w:r w:rsidRPr="00851A80">
              <w:rPr>
                <w:rFonts w:ascii="Calibri" w:eastAsia="Calibri" w:hAnsi="Calibri" w:cs="B Nazanin" w:hint="cs"/>
                <w:b w:val="0"/>
                <w:color w:val="000000"/>
                <w:rtl/>
                <w:lang w:bidi="fa-IR"/>
              </w:rPr>
              <w:t>یلیون</w:t>
            </w:r>
            <w:r w:rsidRPr="00851A80">
              <w:rPr>
                <w:rFonts w:ascii="Calibri" w:eastAsia="Calibri" w:hAnsi="Calibri" w:cs="B Nazanin"/>
                <w:b w:val="0"/>
                <w:color w:val="000000"/>
                <w:rtl/>
                <w:lang w:bidi="fa-IR"/>
              </w:rPr>
              <w:t xml:space="preserve"> تومان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14F7B3B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D32E64A" w14:textId="1BFD1A0A" w:rsidR="00105A62" w:rsidRPr="00851A80" w:rsidRDefault="00851A80" w:rsidP="00105A62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lang w:bidi="fa-IR"/>
              </w:rPr>
            </w:pPr>
            <w:r>
              <w:rPr>
                <w:rFonts w:asciiTheme="minorHAnsi" w:eastAsia="Calibri" w:hAnsiTheme="minorHAnsi" w:cs="B Nazanin" w:hint="cs"/>
                <w:b w:val="0"/>
                <w:color w:val="000000"/>
                <w:rtl/>
                <w:lang w:bidi="fa-IR"/>
              </w:rPr>
              <w:t xml:space="preserve">امکان </w:t>
            </w:r>
            <w:r w:rsidRPr="00851A80">
              <w:rPr>
                <w:rFonts w:asciiTheme="minorHAnsi" w:eastAsia="Calibri" w:hAnsiTheme="minorHAnsi" w:cs="B Nazanin" w:hint="cs"/>
                <w:b w:val="0"/>
                <w:color w:val="000000"/>
                <w:rtl/>
                <w:lang w:bidi="fa-IR"/>
              </w:rPr>
              <w:t>تهیه،</w:t>
            </w:r>
            <w:r w:rsidRPr="00851A80">
              <w:rPr>
                <w:rFonts w:asciiTheme="minorHAnsi" w:eastAsia="Calibri" w:hAnsiTheme="minorHAnsi" w:cs="B Nazanin"/>
                <w:b w:val="0"/>
                <w:color w:val="000000"/>
                <w:rtl/>
                <w:lang w:bidi="fa-IR"/>
              </w:rPr>
              <w:t xml:space="preserve"> ترک</w:t>
            </w:r>
            <w:r w:rsidRPr="00851A80">
              <w:rPr>
                <w:rFonts w:asciiTheme="minorHAnsi" w:eastAsia="Calibri" w:hAnsiTheme="minorHAnsi" w:cs="B Nazanin" w:hint="cs"/>
                <w:b w:val="0"/>
                <w:color w:val="000000"/>
                <w:rtl/>
                <w:lang w:bidi="fa-IR"/>
              </w:rPr>
              <w:t>یب</w:t>
            </w:r>
            <w:r w:rsidRPr="00851A80">
              <w:rPr>
                <w:rFonts w:asciiTheme="minorHAnsi" w:eastAsia="Calibri" w:hAnsiTheme="minorHAnsi" w:cs="B Nazanin"/>
                <w:b w:val="0"/>
                <w:color w:val="000000"/>
                <w:rtl/>
                <w:lang w:bidi="fa-IR"/>
              </w:rPr>
              <w:t>/سنتز مواد ش</w:t>
            </w:r>
            <w:r w:rsidRPr="00851A80">
              <w:rPr>
                <w:rFonts w:asciiTheme="minorHAnsi" w:eastAsia="Calibri" w:hAnsiTheme="minorHAnsi" w:cs="B Nazanin" w:hint="cs"/>
                <w:b w:val="0"/>
                <w:color w:val="000000"/>
                <w:rtl/>
                <w:lang w:bidi="fa-IR"/>
              </w:rPr>
              <w:t>یمیایی</w:t>
            </w:r>
            <w:r w:rsidRPr="00851A80">
              <w:rPr>
                <w:rFonts w:asciiTheme="minorHAnsi" w:eastAsia="Calibri" w:hAnsiTheme="minorHAnsi" w:cs="B Nazanin"/>
                <w:b w:val="0"/>
                <w:color w:val="000000"/>
                <w:rtl/>
                <w:lang w:bidi="fa-IR"/>
              </w:rPr>
              <w:t xml:space="preserve"> مناسب و با راندمان بالا در شرا</w:t>
            </w:r>
            <w:r w:rsidRPr="00851A80">
              <w:rPr>
                <w:rFonts w:asciiTheme="minorHAnsi" w:eastAsia="Calibri" w:hAnsiTheme="minorHAnsi" w:cs="B Nazanin" w:hint="cs"/>
                <w:b w:val="0"/>
                <w:color w:val="000000"/>
                <w:rtl/>
                <w:lang w:bidi="fa-IR"/>
              </w:rPr>
              <w:t>یط</w:t>
            </w:r>
            <w:r w:rsidRPr="00851A80">
              <w:rPr>
                <w:rFonts w:asciiTheme="minorHAnsi" w:eastAsia="Calibri" w:hAnsiTheme="minorHAnsi" w:cs="B Nazanin"/>
                <w:b w:val="0"/>
                <w:color w:val="000000"/>
                <w:rtl/>
                <w:lang w:bidi="fa-IR"/>
              </w:rPr>
              <w:t xml:space="preserve"> دما و فشار و شور</w:t>
            </w:r>
            <w:r w:rsidRPr="00851A80">
              <w:rPr>
                <w:rFonts w:asciiTheme="minorHAnsi" w:eastAsia="Calibri" w:hAnsiTheme="minorHAnsi" w:cs="B Nazanin" w:hint="cs"/>
                <w:b w:val="0"/>
                <w:color w:val="000000"/>
                <w:rtl/>
                <w:lang w:bidi="fa-IR"/>
              </w:rPr>
              <w:t>ی</w:t>
            </w:r>
            <w:r w:rsidRPr="00851A80">
              <w:rPr>
                <w:rFonts w:asciiTheme="minorHAnsi" w:eastAsia="Calibri" w:hAnsiTheme="minorHAnsi" w:cs="B Nazanin"/>
                <w:b w:val="0"/>
                <w:color w:val="000000"/>
                <w:rtl/>
                <w:lang w:bidi="fa-IR"/>
              </w:rPr>
              <w:t xml:space="preserve"> بالا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FAF5" w14:textId="77777777" w:rsidR="00BB0D67" w:rsidRDefault="00BB0D67">
      <w:r>
        <w:separator/>
      </w:r>
    </w:p>
    <w:p w14:paraId="7B6448D7" w14:textId="77777777" w:rsidR="00BB0D67" w:rsidRDefault="00BB0D67"/>
  </w:endnote>
  <w:endnote w:type="continuationSeparator" w:id="0">
    <w:p w14:paraId="52562F69" w14:textId="77777777" w:rsidR="00BB0D67" w:rsidRDefault="00BB0D67">
      <w:r>
        <w:continuationSeparator/>
      </w:r>
    </w:p>
    <w:p w14:paraId="4F65ABC1" w14:textId="77777777" w:rsidR="00BB0D67" w:rsidRDefault="00BB0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0917" w14:textId="77777777" w:rsidR="00BB0D67" w:rsidRDefault="00BB0D67">
      <w:r>
        <w:separator/>
      </w:r>
    </w:p>
    <w:p w14:paraId="0D3A9A57" w14:textId="77777777" w:rsidR="00BB0D67" w:rsidRDefault="00BB0D67"/>
  </w:footnote>
  <w:footnote w:type="continuationSeparator" w:id="0">
    <w:p w14:paraId="51DEEDCB" w14:textId="77777777" w:rsidR="00BB0D67" w:rsidRDefault="00BB0D67">
      <w:r>
        <w:continuationSeparator/>
      </w:r>
    </w:p>
    <w:p w14:paraId="70555A50" w14:textId="77777777" w:rsidR="00BB0D67" w:rsidRDefault="00BB0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51A80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24BBF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7CB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0D67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960E9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86595"/>
    <w:rsid w:val="00EA4711"/>
    <w:rsid w:val="00EA67EC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59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Sh.Bahrizadeh</cp:lastModifiedBy>
  <cp:revision>22</cp:revision>
  <cp:lastPrinted>2020-06-02T04:49:00Z</cp:lastPrinted>
  <dcterms:created xsi:type="dcterms:W3CDTF">2020-11-28T10:02:00Z</dcterms:created>
  <dcterms:modified xsi:type="dcterms:W3CDTF">2021-11-24T06:52:00Z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